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highlight w:val="yellow"/>
        </w:rPr>
      </w:pPr>
      <w:r w:rsidDel="00000000" w:rsidR="00000000" w:rsidRPr="00000000">
        <w:rPr>
          <w:b w:val="1"/>
          <w:sz w:val="24"/>
          <w:szCs w:val="24"/>
          <w:highlight w:val="yellow"/>
          <w:rtl w:val="0"/>
        </w:rPr>
        <w:t xml:space="preserve">To edit this template, please select File and then Download</w:t>
      </w:r>
    </w:p>
    <w:p w:rsidR="00000000" w:rsidDel="00000000" w:rsidP="00000000" w:rsidRDefault="00000000" w:rsidRPr="00000000" w14:paraId="00000002">
      <w:pPr>
        <w:rPr>
          <w:b w:val="1"/>
          <w:sz w:val="24"/>
          <w:szCs w:val="24"/>
          <w:highlight w:val="yellow"/>
        </w:rPr>
      </w:pPr>
      <w:r w:rsidDel="00000000" w:rsidR="00000000" w:rsidRPr="00000000">
        <w:rPr>
          <w:b w:val="1"/>
          <w:sz w:val="24"/>
          <w:szCs w:val="24"/>
          <w:highlight w:val="yellow"/>
          <w:rtl w:val="0"/>
        </w:rPr>
        <w:t xml:space="preserve">To edit in Google documents, please select File and then Make a Copy (you will be able to edit the copy)</w:t>
      </w:r>
    </w:p>
    <w:p w:rsidR="00000000" w:rsidDel="00000000" w:rsidP="00000000" w:rsidRDefault="00000000" w:rsidRPr="00000000" w14:paraId="00000003">
      <w:pPr>
        <w:rPr>
          <w:b w:val="1"/>
          <w:sz w:val="24"/>
          <w:szCs w:val="24"/>
          <w:highlight w:val="yellow"/>
        </w:rPr>
      </w:pPr>
      <w:r w:rsidDel="00000000" w:rsidR="00000000" w:rsidRPr="00000000">
        <w:rPr>
          <w:b w:val="1"/>
          <w:sz w:val="24"/>
          <w:szCs w:val="24"/>
          <w:highlight w:val="yellow"/>
          <w:rtl w:val="0"/>
        </w:rPr>
        <w:t xml:space="preserve">You can also copy and paste text from the template into a new document</w:t>
      </w:r>
    </w:p>
    <w:p w:rsidR="00000000" w:rsidDel="00000000" w:rsidP="00000000" w:rsidRDefault="00000000" w:rsidRPr="00000000" w14:paraId="00000004">
      <w:pPr>
        <w:rPr>
          <w:b w:val="1"/>
          <w:sz w:val="24"/>
          <w:szCs w:val="24"/>
          <w:highlight w:val="yellow"/>
        </w:rPr>
      </w:pPr>
      <w:r w:rsidDel="00000000" w:rsidR="00000000" w:rsidRPr="00000000">
        <w:rPr>
          <w:rtl w:val="0"/>
        </w:rPr>
      </w:r>
    </w:p>
    <w:p w:rsidR="00000000" w:rsidDel="00000000" w:rsidP="00000000" w:rsidRDefault="00000000" w:rsidRPr="00000000" w14:paraId="00000005">
      <w:pPr>
        <w:rPr>
          <w:b w:val="1"/>
          <w:sz w:val="24"/>
          <w:szCs w:val="24"/>
          <w:highlight w:val="yellow"/>
        </w:rPr>
      </w:pPr>
      <w:r w:rsidDel="00000000" w:rsidR="00000000" w:rsidRPr="00000000">
        <w:rPr>
          <w:rtl w:val="0"/>
        </w:rPr>
      </w:r>
    </w:p>
    <w:p w:rsidR="00000000" w:rsidDel="00000000" w:rsidP="00000000" w:rsidRDefault="00000000" w:rsidRPr="00000000" w14:paraId="00000006">
      <w:pPr>
        <w:rPr>
          <w:b w:val="1"/>
          <w:sz w:val="24"/>
          <w:szCs w:val="24"/>
          <w:highlight w:val="yellow"/>
        </w:rPr>
      </w:pPr>
      <w:r w:rsidDel="00000000" w:rsidR="00000000" w:rsidRPr="00000000">
        <w:rPr>
          <w:b w:val="1"/>
          <w:sz w:val="24"/>
          <w:szCs w:val="24"/>
          <w:highlight w:val="yellow"/>
          <w:rtl w:val="0"/>
        </w:rPr>
        <w:t xml:space="preserve">DATE [on or before Monday, June 16, 2025]</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Filed to</w:t>
      </w:r>
      <w:hyperlink r:id="rId6">
        <w:r w:rsidDel="00000000" w:rsidR="00000000" w:rsidRPr="00000000">
          <w:rPr>
            <w:color w:val="1155cc"/>
            <w:sz w:val="24"/>
            <w:szCs w:val="24"/>
            <w:u w:val="single"/>
            <w:rtl w:val="0"/>
          </w:rPr>
          <w:t xml:space="preserve"> www.regulations.gov</w:t>
        </w:r>
      </w:hyperlink>
      <w:r w:rsidDel="00000000" w:rsidR="00000000" w:rsidRPr="00000000">
        <w:rPr>
          <w:sz w:val="24"/>
          <w:szCs w:val="24"/>
          <w:rtl w:val="0"/>
        </w:rPr>
        <w:t xml:space="preserve"> under</w:t>
      </w:r>
      <w:hyperlink r:id="rId7">
        <w:r w:rsidDel="00000000" w:rsidR="00000000" w:rsidRPr="00000000">
          <w:rPr>
            <w:color w:val="1155cc"/>
            <w:sz w:val="24"/>
            <w:szCs w:val="24"/>
            <w:u w:val="single"/>
            <w:rtl w:val="0"/>
          </w:rPr>
          <w:t xml:space="preserve"> DOE-HQ-2025-0015</w:t>
        </w:r>
      </w:hyperlink>
      <w:r w:rsidDel="00000000" w:rsidR="00000000" w:rsidRPr="00000000">
        <w:rPr>
          <w:sz w:val="24"/>
          <w:szCs w:val="24"/>
          <w:rtl w:val="0"/>
        </w:rPr>
        <w:t xml:space="preserve"> and</w:t>
      </w:r>
      <w:hyperlink r:id="rId8">
        <w:r w:rsidDel="00000000" w:rsidR="00000000" w:rsidRPr="00000000">
          <w:rPr>
            <w:color w:val="1155cc"/>
            <w:sz w:val="24"/>
            <w:szCs w:val="24"/>
            <w:u w:val="single"/>
            <w:rtl w:val="0"/>
          </w:rPr>
          <w:t xml:space="preserve"> DOE-HQ-2025-0024</w:t>
        </w:r>
      </w:hyperlink>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Emailed to </w:t>
      </w:r>
      <w:hyperlink r:id="rId9">
        <w:r w:rsidDel="00000000" w:rsidR="00000000" w:rsidRPr="00000000">
          <w:rPr>
            <w:color w:val="1155cc"/>
            <w:sz w:val="24"/>
            <w:szCs w:val="24"/>
            <w:u w:val="single"/>
            <w:rtl w:val="0"/>
          </w:rPr>
          <w:t xml:space="preserve">DOEGeneralCounsel@hq.doe.gov</w:t>
        </w:r>
      </w:hyperlink>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Department of Energy</w:t>
      </w:r>
    </w:p>
    <w:p w:rsidR="00000000" w:rsidDel="00000000" w:rsidP="00000000" w:rsidRDefault="00000000" w:rsidRPr="00000000" w14:paraId="0000000C">
      <w:pPr>
        <w:rPr>
          <w:sz w:val="24"/>
          <w:szCs w:val="24"/>
        </w:rPr>
      </w:pPr>
      <w:r w:rsidDel="00000000" w:rsidR="00000000" w:rsidRPr="00000000">
        <w:rPr>
          <w:sz w:val="24"/>
          <w:szCs w:val="24"/>
          <w:rtl w:val="0"/>
        </w:rPr>
        <w:t xml:space="preserve">Office of Civil Rights and EEO</w:t>
      </w:r>
    </w:p>
    <w:p w:rsidR="00000000" w:rsidDel="00000000" w:rsidP="00000000" w:rsidRDefault="00000000" w:rsidRPr="00000000" w14:paraId="0000000D">
      <w:pPr>
        <w:rPr>
          <w:sz w:val="24"/>
          <w:szCs w:val="24"/>
        </w:rPr>
      </w:pPr>
      <w:r w:rsidDel="00000000" w:rsidR="00000000" w:rsidRPr="00000000">
        <w:rPr>
          <w:sz w:val="24"/>
          <w:szCs w:val="24"/>
          <w:rtl w:val="0"/>
        </w:rPr>
        <w:t xml:space="preserve">1000 Independence Avenue SW, Room 5B-168</w:t>
      </w:r>
    </w:p>
    <w:p w:rsidR="00000000" w:rsidDel="00000000" w:rsidP="00000000" w:rsidRDefault="00000000" w:rsidRPr="00000000" w14:paraId="0000000E">
      <w:pPr>
        <w:rPr>
          <w:sz w:val="24"/>
          <w:szCs w:val="24"/>
        </w:rPr>
      </w:pPr>
      <w:r w:rsidDel="00000000" w:rsidR="00000000" w:rsidRPr="00000000">
        <w:rPr>
          <w:sz w:val="24"/>
          <w:szCs w:val="24"/>
          <w:rtl w:val="0"/>
        </w:rPr>
        <w:t xml:space="preserve">Washington, DC 20585</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Department of Energy</w:t>
      </w:r>
    </w:p>
    <w:p w:rsidR="00000000" w:rsidDel="00000000" w:rsidP="00000000" w:rsidRDefault="00000000" w:rsidRPr="00000000" w14:paraId="00000011">
      <w:pPr>
        <w:rPr>
          <w:sz w:val="24"/>
          <w:szCs w:val="24"/>
        </w:rPr>
      </w:pPr>
      <w:r w:rsidDel="00000000" w:rsidR="00000000" w:rsidRPr="00000000">
        <w:rPr>
          <w:sz w:val="24"/>
          <w:szCs w:val="24"/>
          <w:rtl w:val="0"/>
        </w:rPr>
        <w:t xml:space="preserve">Office of Minority Economic Impact</w:t>
      </w:r>
    </w:p>
    <w:p w:rsidR="00000000" w:rsidDel="00000000" w:rsidP="00000000" w:rsidRDefault="00000000" w:rsidRPr="00000000" w14:paraId="00000012">
      <w:pPr>
        <w:rPr>
          <w:sz w:val="24"/>
          <w:szCs w:val="24"/>
        </w:rPr>
      </w:pPr>
      <w:r w:rsidDel="00000000" w:rsidR="00000000" w:rsidRPr="00000000">
        <w:rPr>
          <w:sz w:val="24"/>
          <w:szCs w:val="24"/>
          <w:rtl w:val="0"/>
        </w:rPr>
        <w:t xml:space="preserve">1000 Independence Avenue SW</w:t>
      </w:r>
    </w:p>
    <w:p w:rsidR="00000000" w:rsidDel="00000000" w:rsidP="00000000" w:rsidRDefault="00000000" w:rsidRPr="00000000" w14:paraId="00000013">
      <w:pPr>
        <w:rPr>
          <w:sz w:val="24"/>
          <w:szCs w:val="24"/>
        </w:rPr>
      </w:pPr>
      <w:r w:rsidDel="00000000" w:rsidR="00000000" w:rsidRPr="00000000">
        <w:rPr>
          <w:sz w:val="24"/>
          <w:szCs w:val="24"/>
          <w:rtl w:val="0"/>
        </w:rPr>
        <w:t xml:space="preserve">Washington DC 20585</w:t>
      </w:r>
    </w:p>
    <w:p w:rsidR="00000000" w:rsidDel="00000000" w:rsidP="00000000" w:rsidRDefault="00000000" w:rsidRPr="00000000" w14:paraId="00000014">
      <w:pPr>
        <w:spacing w:after="240" w:before="240" w:lineRule="auto"/>
        <w:rPr>
          <w:sz w:val="24"/>
          <w:szCs w:val="24"/>
        </w:rPr>
      </w:pPr>
      <w:hyperlink r:id="rId10">
        <w:r w:rsidDel="00000000" w:rsidR="00000000" w:rsidRPr="00000000">
          <w:rPr>
            <w:color w:val="1155cc"/>
            <w:sz w:val="24"/>
            <w:szCs w:val="24"/>
            <w:u w:val="single"/>
            <w:rtl w:val="0"/>
          </w:rPr>
          <w:t xml:space="preserve">DOE-HQ-2025-0024</w:t>
        </w:r>
      </w:hyperlink>
      <w:r w:rsidDel="00000000" w:rsidR="00000000" w:rsidRPr="00000000">
        <w:rPr>
          <w:sz w:val="24"/>
          <w:szCs w:val="24"/>
          <w:rtl w:val="0"/>
        </w:rPr>
        <w:t xml:space="preserve"> Nondiscrimination</w:t>
      </w:r>
    </w:p>
    <w:p w:rsidR="00000000" w:rsidDel="00000000" w:rsidP="00000000" w:rsidRDefault="00000000" w:rsidRPr="00000000" w14:paraId="00000015">
      <w:pPr>
        <w:spacing w:after="240" w:before="240" w:lineRule="auto"/>
        <w:rPr>
          <w:sz w:val="24"/>
          <w:szCs w:val="24"/>
        </w:rPr>
      </w:pPr>
      <w:hyperlink r:id="rId11">
        <w:r w:rsidDel="00000000" w:rsidR="00000000" w:rsidRPr="00000000">
          <w:rPr>
            <w:color w:val="1155cc"/>
            <w:sz w:val="24"/>
            <w:szCs w:val="24"/>
            <w:u w:val="single"/>
            <w:rtl w:val="0"/>
          </w:rPr>
          <w:t xml:space="preserve">DOE-HQ-2025-0015</w:t>
        </w:r>
      </w:hyperlink>
      <w:r w:rsidDel="00000000" w:rsidR="00000000" w:rsidRPr="00000000">
        <w:rPr>
          <w:sz w:val="24"/>
          <w:szCs w:val="24"/>
          <w:rtl w:val="0"/>
        </w:rPr>
        <w:t xml:space="preserve"> New Construction Requirements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sz w:val="24"/>
          <w:szCs w:val="24"/>
          <w:highlight w:val="yellow"/>
          <w:rtl w:val="0"/>
        </w:rPr>
        <w:t xml:space="preserve">[Say your name and where you are from. Write a sentence or two about why you care about disability rights and accessibility. For example, you can say you are disabled, or someone you care about is disabled.]</w:t>
      </w:r>
      <w:r w:rsidDel="00000000" w:rsidR="00000000" w:rsidRPr="00000000">
        <w:rPr>
          <w:sz w:val="24"/>
          <w:szCs w:val="24"/>
          <w:rtl w:val="0"/>
        </w:rPr>
        <w:t xml:space="preserve">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I am writing to ask the Department of Energy (DOE) not to change the Section 504 rules.  The Section 504 rules are important to me. Changing the rules could hurt many people with disabilities.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Section 504 says that places that get government money must be accessible to people with disabilities. If someone builds a new building, it must be accessible. 504 says people must follow certain rules to make new buildings accessible.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If someone makes alterations to a building, those changes also need to be accessible. Alterations are big changes to a building. For example, businesses sometimes add on parts to their buildings to make more space. If they do that, the new space has to be accessible.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Older buildings need to have plans to help make them as accessible as possible. But older buildings don’t have to make the same changes new buildings do. It makes sense that the Section 504 rules are different for old and new buildings. It can be hard to make older buildings fully accessible. So the rules are less strict on older buildings.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But the 504 rules are strict about new buildings. They are strict about when alterations get made to buildings. Following the rules makes new buildings fully accessible. Following the rules makes alterations to buildings fully accessible.</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These are very important Section 504 rules. Congress looked over these rules and agreed with them. Congress said that everyone should follow the rules. If everyone follows the rules, the U.S. will become more accessible.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It would be really bad if DOE changed the 504 rules. New buildings could get made that are not accessible. The point of the 504 rules is to make things more accessible. Changing the rules would go against what Section 504 says.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The law says that changing rules should take time. The government needs to think about the rules and talk to everyday people. DOE should slow down and take time to listen to people. DOE should not change these important rules.</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pStyle w:val="Heading1"/>
        <w:rPr/>
      </w:pPr>
      <w:bookmarkStart w:colFirst="0" w:colLast="0" w:name="_j83bk7l1po47" w:id="0"/>
      <w:bookmarkEnd w:id="0"/>
      <w:r w:rsidDel="00000000" w:rsidR="00000000" w:rsidRPr="00000000">
        <w:rPr>
          <w:rtl w:val="0"/>
        </w:rPr>
        <w:t xml:space="preserve">Congress already looked over and said okay to the 504 Rules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The Section 504 rules go back to the 1970s. An agency called the Department of Health, Education, and Welfare (HEW) wrote the rules. HEW had many meetings with Congress and with members of the public. To learn more, you can watch a movie called Crip Camp. This movie shows how people with disabilities fought to help pass the Section 504 rules. Hundreds of disabled people helped pass the Section 504 rules.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HEW wrote the 504 rules to give directions to U.S. government agencies. More than 80 U.S. government agencies started following the 504 rules. The DOE was one of these agencies. DOE should not try to change the rules more than 40 years later.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Right after HEW wrote the Section 504 rules, Congress passed the Rehabilitation Act. Congress said it agreed with the 504 rules. Congress added the 504 rules to the Rehabilitation Act. The Supreme Court has looked at the rules and said they belong in the Rehabilitation Act. U.S. courts have spent years making sure people follow the rules.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The rules for Section 504 are important and make sense. DOE should not change them.</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Style w:val="Heading2"/>
        <w:rPr/>
      </w:pPr>
      <w:bookmarkStart w:colFirst="0" w:colLast="0" w:name="_n27k5l4t9cj0" w:id="1"/>
      <w:bookmarkEnd w:id="1"/>
      <w:r w:rsidDel="00000000" w:rsidR="00000000" w:rsidRPr="00000000">
        <w:rPr>
          <w:rtl w:val="0"/>
        </w:rPr>
        <w:t xml:space="preserve">Accessibility rules are very important</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DOE wants to get rid of a part of Section 504’s rules. This part is about making new buildings and alterations to buildings accessible. The rule says that following the Uniform Federal Accessibility Standards (UFAS) means that something is accessible. The UFAS are rules about what is accessible for people with disabilities.</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Rules like the UFAS help keep things accessible. Builders know what they need to do to make their buildings accessible. They need to make sure what they build is accessible. For example, they need to measure the doorways, ramps, and walkways. Even messing up by a few inches can make something not accessible for disabled people.</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But DOE wants the government to stop </w:t>
      </w:r>
      <w:r w:rsidDel="00000000" w:rsidR="00000000" w:rsidRPr="00000000">
        <w:rPr>
          <w:sz w:val="24"/>
          <w:szCs w:val="24"/>
          <w:rtl w:val="0"/>
        </w:rPr>
        <w:t xml:space="preserve">using the UFAS</w:t>
      </w:r>
      <w:r w:rsidDel="00000000" w:rsidR="00000000" w:rsidRPr="00000000">
        <w:rPr>
          <w:sz w:val="24"/>
          <w:szCs w:val="24"/>
          <w:rtl w:val="0"/>
        </w:rPr>
        <w:t xml:space="preserve">. If DOE gets rid of these 504 rules, builders who get money from the government will have problems. They won’t know if what they build is actually accessible.</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I disagree with the changes that DOE wants to make to the Section 504 rules. DOE should not change the rules.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Sincerely,</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Name</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4"/>
          <w:szCs w:val="24"/>
          <w:highlight w:val="yellow"/>
        </w:rPr>
      </w:pPr>
      <w:r w:rsidDel="00000000" w:rsidR="00000000" w:rsidRPr="00000000">
        <w:rPr>
          <w:b w:val="1"/>
          <w:sz w:val="24"/>
          <w:szCs w:val="24"/>
          <w:highlight w:val="yellow"/>
          <w:rtl w:val="0"/>
        </w:rPr>
        <w:t xml:space="preserve">If organization:</w:t>
      </w:r>
    </w:p>
    <w:p w:rsidR="00000000" w:rsidDel="00000000" w:rsidP="00000000" w:rsidRDefault="00000000" w:rsidRPr="00000000" w14:paraId="00000044">
      <w:pPr>
        <w:rPr>
          <w:b w:val="1"/>
          <w:sz w:val="24"/>
          <w:szCs w:val="24"/>
          <w:highlight w:val="yellow"/>
        </w:rPr>
      </w:pPr>
      <w:r w:rsidDel="00000000" w:rsidR="00000000" w:rsidRPr="00000000">
        <w:rPr>
          <w:b w:val="1"/>
          <w:sz w:val="24"/>
          <w:szCs w:val="24"/>
          <w:highlight w:val="yellow"/>
          <w:rtl w:val="0"/>
        </w:rPr>
        <w:t xml:space="preserve">Title [for example, Executive Director]</w:t>
      </w:r>
    </w:p>
    <w:p w:rsidR="00000000" w:rsidDel="00000000" w:rsidP="00000000" w:rsidRDefault="00000000" w:rsidRPr="00000000" w14:paraId="00000045">
      <w:pPr>
        <w:rPr>
          <w:b w:val="1"/>
          <w:sz w:val="24"/>
          <w:szCs w:val="24"/>
          <w:highlight w:val="yellow"/>
        </w:rPr>
      </w:pPr>
      <w:r w:rsidDel="00000000" w:rsidR="00000000" w:rsidRPr="00000000">
        <w:rPr>
          <w:b w:val="1"/>
          <w:sz w:val="24"/>
          <w:szCs w:val="24"/>
          <w:highlight w:val="yellow"/>
          <w:rtl w:val="0"/>
        </w:rPr>
        <w:t xml:space="preserve">Organization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sz w:val="24"/>
      <w:szCs w:val="24"/>
      <w:u w:val="single"/>
    </w:rPr>
  </w:style>
  <w:style w:type="paragraph" w:styleId="Heading2">
    <w:name w:val="heading 2"/>
    <w:basedOn w:val="Normal"/>
    <w:next w:val="Normal"/>
    <w:pPr>
      <w:keepNext w:val="1"/>
      <w:keepLines w:val="1"/>
    </w:pPr>
    <w:rPr>
      <w:sz w:val="24"/>
      <w:szCs w:val="24"/>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ederalregister.gov/documents/2025/05/16/2025-08535/rescinding-new-construction-requirements-related-to-nondiscrimination-in-federally-assisted-programs" TargetMode="External"/><Relationship Id="rId10" Type="http://schemas.openxmlformats.org/officeDocument/2006/relationships/hyperlink" Target="https://www.federalregister.gov/documents/2025/05/16/2025-08593/rescinding-regulations-related-to-nondiscrimination-in-federally-assisted-programs-or-activities" TargetMode="External"/><Relationship Id="rId12" Type="http://schemas.openxmlformats.org/officeDocument/2006/relationships/footer" Target="footer1.xml"/><Relationship Id="rId9" Type="http://schemas.openxmlformats.org/officeDocument/2006/relationships/hyperlink" Target="mailto:DOEGeneralCounsel@hq.doe.gov" TargetMode="External"/><Relationship Id="rId5" Type="http://schemas.openxmlformats.org/officeDocument/2006/relationships/styles" Target="styles.xml"/><Relationship Id="rId6" Type="http://schemas.openxmlformats.org/officeDocument/2006/relationships/hyperlink" Target="http://www.regulations.gov/" TargetMode="External"/><Relationship Id="rId7" Type="http://schemas.openxmlformats.org/officeDocument/2006/relationships/hyperlink" Target="https://www.regulations.gov/document/DOE-HQ-2025-0015-0001" TargetMode="External"/><Relationship Id="rId8" Type="http://schemas.openxmlformats.org/officeDocument/2006/relationships/hyperlink" Target="https://www.regulations.gov/document/DOE-HQ-2025-0024-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